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440"/>
      </w:pPr>
      <w:r>
        <w:rPr>
          <w:rFonts w:ascii="Arial" w:cs="Arial" w:eastAsia="Arial" w:hAnsi="Arial"/>
          <w:b/>
          <w:bCs/>
          <w:color w:val="1D9E75"/>
          <w:sz w:val="28"/>
          <w:szCs w:val="28"/>
        </w:rPr>
        <w:t xml:space="preserve">GEERD EdTech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D6FA5"/>
          <w:sz w:val="52"/>
          <w:szCs w:val="52"/>
        </w:rPr>
        <w:t xml:space="preserve">DigiScan Université</w:t>
      </w:r>
    </w:p>
    <w:p>
      <w:pPr>
        <w:spacing w:after="80"/>
      </w:pPr>
      <w:r>
        <w:rPr>
          <w:rFonts w:ascii="Arial" w:cs="Arial" w:eastAsia="Arial" w:hAnsi="Arial"/>
          <w:color w:val="555555"/>
          <w:sz w:val="32"/>
          <w:szCs w:val="32"/>
        </w:rPr>
        <w:t xml:space="preserve">Diagnostic de maturité numérique</w:t>
      </w:r>
    </w:p>
    <w:p>
      <w:pPr>
        <w:spacing w:after="400"/>
      </w:pPr>
      <w:r>
        <w:rPr>
          <w:rFonts w:ascii="Arial" w:cs="Arial" w:eastAsia="Arial" w:hAnsi="Arial"/>
          <w:i/>
          <w:iCs/>
          <w:color w:val="888888"/>
          <w:sz w:val="24"/>
          <w:szCs w:val="24"/>
        </w:rPr>
        <w:t xml:space="preserve">à destination des établissements d'enseignement supérieur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200"/>
              <w:left w:type="dxa" w:w="300"/>
              <w:bottom w:type="dxa" w:w="200"/>
              <w:right w:type="dxa" w:w="30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olor w:val="1D6FA5"/>
                <w:sz w:val="24"/>
                <w:szCs w:val="24"/>
              </w:rPr>
              <w:t xml:space="preserve">Présentation de l'outil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Le DigiScan est une boussole stratégique conçue pour révéler le degré de maturité numérique de votre établissement et identifier les leviers d'action prioritaires.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Il se compose de 30 questions réparties en 6 dimensions, chacune scorée sur 15 points (score global : 90 points). Chaque réponse est notée de 0 à 3 selon le degré de maturité qu'elle traduit.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À l'issue du diagnostic, une grille d'interprétation permet d'identifier les dimensions prioritaires et les solutions GEERD les plus adaptées à votre contexte.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color w:val="1D6FA5"/>
          <w:sz w:val="24"/>
          <w:szCs w:val="24"/>
        </w:rPr>
        <w:t xml:space="preserve">Renseignements généraux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666666"/>
                <w:sz w:val="20"/>
                <w:szCs w:val="20"/>
              </w:rPr>
              <w:t xml:space="preserve">Nom de l'établissement</w:t>
            </w:r>
          </w:p>
          <w:p>
            <w:r>
              <w:rPr>
                <w:rFonts w:ascii="Arial" w:cs="Arial" w:eastAsia="Arial" w:hAnsi="Arial"/>
                <w:color w:val="CCCCCC"/>
                <w:sz w:val="20"/>
                <w:szCs w:val="20"/>
              </w:rPr>
              <w:t xml:space="preserve">_______________________________________________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666666"/>
                <w:sz w:val="20"/>
                <w:szCs w:val="20"/>
              </w:rPr>
              <w:t xml:space="preserve">Filière / Département</w:t>
            </w:r>
          </w:p>
          <w:p>
            <w:r>
              <w:rPr>
                <w:rFonts w:ascii="Arial" w:cs="Arial" w:eastAsia="Arial" w:hAnsi="Arial"/>
                <w:color w:val="CCCCCC"/>
                <w:sz w:val="20"/>
                <w:szCs w:val="20"/>
              </w:rPr>
              <w:t xml:space="preserve">_______________________________________________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666666"/>
                <w:sz w:val="20"/>
                <w:szCs w:val="20"/>
              </w:rPr>
              <w:t xml:space="preserve">Nom du répondant</w:t>
            </w:r>
          </w:p>
          <w:p>
            <w:r>
              <w:rPr>
                <w:rFonts w:ascii="Arial" w:cs="Arial" w:eastAsia="Arial" w:hAnsi="Arial"/>
                <w:color w:val="CCCCCC"/>
                <w:sz w:val="20"/>
                <w:szCs w:val="20"/>
              </w:rPr>
              <w:t xml:space="preserve">_______________________________________________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666666"/>
                <w:sz w:val="20"/>
                <w:szCs w:val="20"/>
              </w:rPr>
              <w:t xml:space="preserve">Fonction</w:t>
            </w:r>
          </w:p>
          <w:p>
            <w:r>
              <w:rPr>
                <w:rFonts w:ascii="Arial" w:cs="Arial" w:eastAsia="Arial" w:hAnsi="Arial"/>
                <w:color w:val="CCCCCC"/>
                <w:sz w:val="20"/>
                <w:szCs w:val="20"/>
              </w:rPr>
              <w:t xml:space="preserve">_______________________________________________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666666"/>
                <w:sz w:val="20"/>
                <w:szCs w:val="20"/>
              </w:rPr>
              <w:t xml:space="preserve">Date de complétion</w:t>
            </w:r>
          </w:p>
          <w:p>
            <w:r>
              <w:rPr>
                <w:rFonts w:ascii="Arial" w:cs="Arial" w:eastAsia="Arial" w:hAnsi="Arial"/>
                <w:color w:val="CCCCCC"/>
                <w:sz w:val="20"/>
                <w:szCs w:val="20"/>
              </w:rPr>
              <w:t xml:space="preserve">_______________________________________________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666666"/>
                <w:sz w:val="20"/>
                <w:szCs w:val="20"/>
              </w:rPr>
              <w:t xml:space="preserve">Ville / Région</w:t>
            </w:r>
          </w:p>
          <w:p>
            <w:r>
              <w:rPr>
                <w:rFonts w:ascii="Arial" w:cs="Arial" w:eastAsia="Arial" w:hAnsi="Arial"/>
                <w:color w:val="CCCCCC"/>
                <w:sz w:val="20"/>
                <w:szCs w:val="20"/>
              </w:rPr>
              <w:t xml:space="preserve">_______________________________________________</w:t>
            </w:r>
          </w:p>
        </w:tc>
      </w:tr>
    </w:tbl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D6FA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DIMENSION 1  —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INFRASTRUCTURE &amp; OUTILS NUMÉRIQUES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Q1.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Vos enseignants disposent-ils d'outils numériques dédiés à la gestion de leurs cours (dépôt de ressources, suivi des étudiants)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un LMS institutionnel actif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mais des outils disparates (Drive, WhatsApp...)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Rarement — surtout en présentiel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Non, aucun outil formalisé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Q2.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Votre établissement dispose-t-il d'une plateforme centralisée pour le suivi des notes et des résultats académiques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entièrement digitalisée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mais incomplète ou mal utilisée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Partiellement — papier et digital coexistent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Non, tout est en papier ou en Excel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Q3.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Les étudiants peuvent-ils accéder à leurs ressources pédagogiques en ligne à tout moment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24h/24 via une plateforme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mais avec des interruptions fréquentes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Sur certains cours uniquement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Non, pas de ressources en ligne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Q4.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Vos infrastructures réseau (Wi-Fi, salles équipées) permettent-elles un enseignement hybride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dans l'ensemble des espaces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Dans certaines salles uniquement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Infrastructure limitée et instable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Non, équipement insuffisant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Q5.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Votre établissement utilise-t-il un ENT (Espace Numérique de Travail) ou équivalent actif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largement adopté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mais peu utilisé en pratique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En cours de déploiement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34AB7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DIMENSION 2  —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PÉDAGOGIE &amp; EXPÉRIENCE APPRENANT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Q6.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Vos enseignants intègrent-ils des formats pédagogiques numériques (quiz en ligne, vidéos, classes virtuelles)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de façon régulière et structurée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mais à l'initiative individuelle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Rarement — quelques expérimentations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Non, enseignement uniquement présentiel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Q7.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Vos étudiants bénéficient-ils d'un suivi personnalisé de leur progression académique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via des tableaux de bord ou rapports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mais manuellement par l'enseignant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Sur demande uniquement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Non, aucun suivi formalisé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Q8.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Les évaluations et devoirs peuvent-ils être soumis et corrigés en ligne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entièrement en ligne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Mixte — certains en ligne, d'autres en papier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Rarement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Non, tout est en présentiel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Q9.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Votre établissement propose-t-il des parcours d'apprentissage différenciés ou adaptatifs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avec des options de personnalisation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Des options limitées existent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En réflexion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Q10.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Les étudiants ont-ils accès à un espace collaboratif numérique (groupes, forums, projets)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intégré à la plateforme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Via des outils externes (WhatsApp, Facebook)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Très peu formalisé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85FA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DIMENSION 3  —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GESTION ADMINISTRATIVE &amp; PROCESSUS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Q11.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L'inscription et la réinscription des étudiants sont-elles gérées via un système en ligne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entièrement dématérialisées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En partie — formulaires papier subsistent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Principalement papier avec quelques exceptions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Non, tout est manuel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Q12.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Les documents administratifs (attestations, relevés de notes) peuvent-ils être générés et délivrés en ligne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automatiquement sur demande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mais avec délai et intervention humaine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Partiellement — certains types seulement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Non, uniquement en présentiel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Q13.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Votre personnel administratif dispose-t-il d'outils numériques pour la gestion des dossiers étudiants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un ERP ou logiciel dédié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Des outils partiels (Excel, tableaux partagés)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Peu d'outils — surtout papier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Q14.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Le suivi des absences et des présences est-il numérisé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en temps réel via une application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mais post-saisie manuelle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Rarement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 — feuilles d'émargement uniquement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Q15.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Votre établissement dispose-t-il d'un tableau de bord de pilotage des indicateurs académiques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mis à jour régulièrement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mais peu fiable ou peu consulté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En construction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BA7517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DIMENSION 4  —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EMPLOYABILITÉ &amp; ORIENTATION PROFESSIONNELLE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Q16.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Votre établissement dispose-t-il d'une plateforme ou d'un espace dédié à l'orientation et aux stages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une plateforme active avec offres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mais peu mis à jour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Un espace informel (affichage, mails)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Q17.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Les étudiants peuvent-ils accéder à des ressources de développement professionnel en ligne (CV, entretiens, compétences)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intégrées dans la plateforme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Via des ressources externes partagées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Très peu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Q18.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Votre établissement maintient-il une base de données d'anciens étudiants (alumni) active et utilisée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structurée et engagée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mais peu animée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Partiellement (annuaires informels)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Q19.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Des entreprises partenaires interagissent-elles directement avec les étudiants via une interface numérique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via une plateforme dédiée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mais par email/téléphone uniquement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Ponctuellement lors d'événements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Q20.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Le taux d'insertion professionnelle de vos diplômés est-il mesuré et suivi via un système structuré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avec enquêtes périodiques et tableaux de bord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mais de façon irrégulière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Par approximation seulement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 mesuré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5A3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DIMENSION 5  —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DONNÉES &amp; PILOTAGE STRATÉGIQUE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Q21.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Votre direction dispose-t-elle de données fiables pour prendre des décisions stratégiques (effectifs, taux de réussite, satisfaction)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données consolidées en temps réel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mais dispersées dans plusieurs systèmes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Partiellement — données souvent incomplètes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Non, décisions sur estimations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Q22.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Réalisez-vous des enquêtes de satisfaction régulières auprès des étudiants et enseignants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annuellement avec analyse formelle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mais de façon informelle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Rarement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Q23.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Vos données académiques (notes, taux de présence, progression) sont-elles exploitées pour identifier les étudiants en difficulté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avec des alertes automatiques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manuellement par les enseignants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Rarement et trop tard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Q24.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Votre établissement dispose-t-il d'une politique de protection des données personnelles (étudiants, personnel)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formalisée et appliquée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En cours de formalisation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Conscience du sujet, sans politique claire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Q25.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Les performances de vos programmes (taux de réussite par filière, abandon) sont-elles analysées pour guider les décisions pédagogiques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avec des revues régulières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mais sans processus formalisé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Rarement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3B6D11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DIMENSION 6  —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CULTURE NUMÉRIQUE &amp; CONDUITE DU CHANGEMENT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Q26.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Vos enseignants bénéficient-ils de formations régulières aux outils et pédagogies numériques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programme de formation structuré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formations ponctuelles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Rarement — initiatives individuelles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Q27.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La direction de votre établissement impulse-t-elle activement la transformation numérique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avec une feuille de route formalisée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mais sans stratégie claire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Quelques initiatives isolées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 — le numérique n'est pas une priorité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Q28.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Vos étudiants sont-ils accompagnés dans le développement de leurs compétences numériques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des modules dédiés existent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Partiellement, selon les filières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Très peu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Q29.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Avez-vous une équipe ou un référent dédié au numérique éducatif au sein de l'établissement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une équipe constituée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un référent unique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Un rôle informel sans mission définie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2"/>
                <w:szCs w:val="22"/>
              </w:rPr>
              <w:t xml:space="preserve">Q30.  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2"/>
                <w:szCs w:val="22"/>
              </w:rPr>
              <w:t xml:space="preserve">Votre établissement évalue-t-il régulièrement ses outils numériques et intègre-t-il les retours des utilisateurs 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via des revues périodiques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3]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Oui, mais de façon réactive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2]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Rarement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1]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360"/>
              <w:bottom w:type="dxa" w:w="80"/>
              <w:right w:type="dxa" w:w="180"/>
            </w:tcMar>
          </w:tcPr>
          <w:p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444444"/>
                <w:sz w:val="22"/>
                <w:szCs w:val="22"/>
              </w:rPr>
              <w:t xml:space="preserve">Non</w:t>
            </w:r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   [Score : 0]</w:t>
            </w:r>
          </w:p>
        </w:tc>
      </w:tr>
    </w:tbl>
    <w:p>
      <w:pPr>
        <w:spacing w:after="80"/>
      </w:pPr>
      <w:r>
        <w:t xml:space="preserve"/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D6FA5"/>
          <w:sz w:val="28"/>
          <w:szCs w:val="28"/>
        </w:rPr>
        <w:t xml:space="preserve">Récapitulatif des scores</w:t>
      </w:r>
    </w:p>
    <w:p>
      <w:pPr>
        <w:spacing w:after="80"/>
      </w:pPr>
      <w:r>
        <w:t xml:space="preserve"/>
      </w:r>
    </w:p>
    <w:p>
      <w:pPr>
        <w:spacing w:after="10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22"/>
          <w:szCs w:val="22"/>
        </w:rPr>
        <w:t xml:space="preserve">Consigne : pour chaque dimension, additionnez vos scores (3 = 1ère option, 2 = 2ème, 1 = 3ème, 0 = 4ème). Reportez le total dans le tableau ci-dessous.</w:t>
      </w:r>
    </w:p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1500"/>
        <w:gridCol w:w="1500"/>
        <w:gridCol w:w="2860"/>
      </w:tblGrid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D6FA5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Dimension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D6FA5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Score /15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D6FA5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Niveau</w:t>
            </w:r>
          </w:p>
        </w:tc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D6FA5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Solution GEERD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333333"/>
                <w:sz w:val="22"/>
                <w:szCs w:val="22"/>
              </w:rPr>
              <w:t xml:space="preserve">Infrastructure &amp; outils numériques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__ / 15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888888"/>
                <w:sz w:val="18"/>
                <w:szCs w:val="18"/>
              </w:rPr>
              <w:t xml:space="preserve">☐ Faible  ☐ Moyen  ☐ Élevé</w:t>
            </w:r>
          </w:p>
        </w:tc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D9E75"/>
                <w:sz w:val="20"/>
                <w:szCs w:val="20"/>
              </w:rPr>
              <w:t xml:space="preserve">EasyClass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333333"/>
                <w:sz w:val="22"/>
                <w:szCs w:val="22"/>
              </w:rPr>
              <w:t xml:space="preserve">Pédagogie &amp; expérience apprenant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__ / 15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888888"/>
                <w:sz w:val="18"/>
                <w:szCs w:val="18"/>
              </w:rPr>
              <w:t xml:space="preserve">☐ Faible  ☐ Moyen  ☐ Élevé</w:t>
            </w:r>
          </w:p>
        </w:tc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F5E3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D9E75"/>
                <w:sz w:val="20"/>
                <w:szCs w:val="20"/>
              </w:rPr>
              <w:t xml:space="preserve">EasyClass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333333"/>
                <w:sz w:val="22"/>
                <w:szCs w:val="22"/>
              </w:rPr>
              <w:t xml:space="preserve">Gestion administrative &amp; processus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__ / 15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888888"/>
                <w:sz w:val="18"/>
                <w:szCs w:val="18"/>
              </w:rPr>
              <w:t xml:space="preserve">☐ Faible  ☐ Moyen  ☐ Élevé</w:t>
            </w:r>
          </w:p>
        </w:tc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D9E75"/>
                <w:sz w:val="20"/>
                <w:szCs w:val="20"/>
              </w:rPr>
              <w:t xml:space="preserve">EasyClass / AlmaHub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333333"/>
                <w:sz w:val="22"/>
                <w:szCs w:val="22"/>
              </w:rPr>
              <w:t xml:space="preserve">Employabilité &amp; orientation professionnelle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__ / 15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888888"/>
                <w:sz w:val="18"/>
                <w:szCs w:val="18"/>
              </w:rPr>
              <w:t xml:space="preserve">☐ Faible  ☐ Moyen  ☐ Élevé</w:t>
            </w:r>
          </w:p>
        </w:tc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F5E3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D9E75"/>
                <w:sz w:val="20"/>
                <w:szCs w:val="20"/>
              </w:rPr>
              <w:t xml:space="preserve">BrightStep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333333"/>
                <w:sz w:val="22"/>
                <w:szCs w:val="22"/>
              </w:rPr>
              <w:t xml:space="preserve">Données &amp; pilotage stratégique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__ / 15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888888"/>
                <w:sz w:val="18"/>
                <w:szCs w:val="18"/>
              </w:rPr>
              <w:t xml:space="preserve">☐ Faible  ☐ Moyen  ☐ Élevé</w:t>
            </w:r>
          </w:p>
        </w:tc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D9E75"/>
                <w:sz w:val="20"/>
                <w:szCs w:val="20"/>
              </w:rPr>
              <w:t xml:space="preserve">AlmaHub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333333"/>
                <w:sz w:val="22"/>
                <w:szCs w:val="22"/>
              </w:rPr>
              <w:t xml:space="preserve">Culture numérique &amp; conduite du changement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888888"/>
                <w:sz w:val="22"/>
                <w:szCs w:val="22"/>
              </w:rPr>
              <w:t xml:space="preserve">__ / 15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888888"/>
                <w:sz w:val="18"/>
                <w:szCs w:val="18"/>
              </w:rPr>
              <w:t xml:space="preserve">☐ Faible  ☐ Moyen  ☐ Élevé</w:t>
            </w:r>
          </w:p>
        </w:tc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F5E3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D9E75"/>
                <w:sz w:val="20"/>
                <w:szCs w:val="20"/>
              </w:rPr>
              <w:t xml:space="preserve">EasyClass / BrightStep / AlmaHub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333333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SCORE GLOBAL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333333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__ / 90</w:t>
            </w:r>
          </w:p>
        </w:tc>
        <w:tc>
          <w:tcPr>
            <w:tcW w:type="dxa" w:w="4360"/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333333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CCCCCC"/>
                <w:sz w:val="18"/>
                <w:szCs w:val="18"/>
              </w:rPr>
              <w:t xml:space="preserve">☐ Initiale (0-49)   ☐ Intermédiaire (50-74)   ☐ Avancée (75-90)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D6FA5"/>
          <w:sz w:val="28"/>
          <w:szCs w:val="28"/>
        </w:rPr>
        <w:t xml:space="preserve">Grille d'interprétation et recommandations</w:t>
      </w:r>
    </w:p>
    <w:p>
      <w:pPr>
        <w:spacing w:after="80"/>
      </w:pPr>
      <w:r>
        <w:t xml:space="preserve"/>
      </w:r>
    </w:p>
    <w:p>
      <w:pPr>
        <w:spacing w:after="10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22"/>
          <w:szCs w:val="22"/>
        </w:rPr>
        <w:t xml:space="preserve">Ce tableau vous permet d'identifier, pour chaque dimension, votre niveau de maturité et les solutions GEERD les mieux adaptées à votre situation.</w:t>
      </w:r>
    </w:p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000"/>
        <w:gridCol w:w="1200"/>
        <w:gridCol w:w="2380"/>
        <w:gridCol w:w="258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D6FA5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Dimension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D6FA5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Niveau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D6FA5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Score</w:t>
            </w:r>
          </w:p>
        </w:tc>
        <w:tc>
          <w:tcPr>
            <w:tcW w:type="dxa" w:w="2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D6FA5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Interprétation</w:t>
            </w:r>
          </w:p>
        </w:tc>
        <w:tc>
          <w:tcPr>
            <w:tcW w:type="dxa" w:w="25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D6FA5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Recommandation GEERD</w:t>
            </w:r>
          </w:p>
        </w:tc>
      </w:tr>
      <w:tr>
        <w:tc>
          <w:tcPr>
            <w:tcW w:type="dxa" w:w="2200"/>
            <w:vMerge w:val="restart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4F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0"/>
                <w:szCs w:val="20"/>
              </w:rPr>
              <w:t xml:space="preserve">Score global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ECE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993C1D"/>
                <w:sz w:val="20"/>
                <w:szCs w:val="20"/>
              </w:rPr>
              <w:t xml:space="preserve">Faible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0-49</w:t>
            </w:r>
          </w:p>
        </w:tc>
        <w:tc>
          <w:tcPr>
            <w:tcW w:type="dxa" w:w="2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Faible : bases numériques à construire.</w:t>
            </w:r>
          </w:p>
        </w:tc>
        <w:tc>
          <w:tcPr>
            <w:tcW w:type="dxa" w:w="25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D9E75"/>
                <w:sz w:val="20"/>
                <w:szCs w:val="20"/>
              </w:rPr>
              <w:t xml:space="preserve">Déploiement progressif de la suite GEERD, en commençant par EasyClass.</w:t>
            </w:r>
          </w:p>
        </w:tc>
      </w:tr>
      <w:tr>
        <w:tc>
          <w:tcPr>
            <w:vMerge w:val="continue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/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EED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854F0B"/>
                <w:sz w:val="20"/>
                <w:szCs w:val="20"/>
              </w:rPr>
              <w:t xml:space="preserve">Moyen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50-74</w:t>
            </w:r>
          </w:p>
        </w:tc>
        <w:tc>
          <w:tcPr>
            <w:tcW w:type="dxa" w:w="2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Moyen : outils présents, cohérence à renforcer.</w:t>
            </w:r>
          </w:p>
        </w:tc>
        <w:tc>
          <w:tcPr>
            <w:tcW w:type="dxa" w:w="25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D9E75"/>
                <w:sz w:val="20"/>
                <w:szCs w:val="20"/>
              </w:rPr>
              <w:t xml:space="preserve">Consolidation et intégration des outils existants.</w:t>
            </w:r>
          </w:p>
        </w:tc>
      </w:tr>
      <w:tr>
        <w:tc>
          <w:tcPr>
            <w:vMerge w:val="continue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/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3D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3B6D11"/>
                <w:sz w:val="20"/>
                <w:szCs w:val="20"/>
              </w:rPr>
              <w:t xml:space="preserve">Élevé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/>
            </w:r>
          </w:p>
        </w:tc>
        <w:tc>
          <w:tcPr>
            <w:tcW w:type="dxa" w:w="2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Élevé : maturité solide, optimisation possible.</w:t>
            </w:r>
          </w:p>
        </w:tc>
        <w:tc>
          <w:tcPr>
            <w:tcW w:type="dxa" w:w="25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D9E75"/>
                <w:sz w:val="20"/>
                <w:szCs w:val="20"/>
              </w:rPr>
              <w:t xml:space="preserve">Exploitation avancée des données et pilotage stratégique.</w:t>
            </w:r>
          </w:p>
        </w:tc>
      </w:tr>
      <w:tr>
        <w:tc>
          <w:tcPr>
            <w:tcW w:type="dxa" w:w="2200"/>
            <w:vMerge w:val="restart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AF8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0"/>
                <w:szCs w:val="20"/>
              </w:rPr>
              <w:t xml:space="preserve">Infrastructure &amp; outils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ECE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993C1D"/>
                <w:sz w:val="20"/>
                <w:szCs w:val="20"/>
              </w:rPr>
              <w:t xml:space="preserve">Faible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0-5</w:t>
            </w:r>
          </w:p>
        </w:tc>
        <w:tc>
          <w:tcPr>
            <w:tcW w:type="dxa" w:w="2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Outils inexistants ou très fragmentés.</w:t>
            </w:r>
          </w:p>
        </w:tc>
        <w:tc>
          <w:tcPr>
            <w:tcW w:type="dxa" w:w="25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D9E75"/>
                <w:sz w:val="20"/>
                <w:szCs w:val="20"/>
              </w:rPr>
              <w:t xml:space="preserve">Déployer EasyClass comme LMS central.</w:t>
            </w:r>
          </w:p>
        </w:tc>
      </w:tr>
      <w:tr>
        <w:tc>
          <w:tcPr>
            <w:vMerge w:val="continue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/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EED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854F0B"/>
                <w:sz w:val="20"/>
                <w:szCs w:val="20"/>
              </w:rPr>
              <w:t xml:space="preserve">Moyen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6-10</w:t>
            </w:r>
          </w:p>
        </w:tc>
        <w:tc>
          <w:tcPr>
            <w:tcW w:type="dxa" w:w="2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Outils présents mais peu intégrés.</w:t>
            </w:r>
          </w:p>
        </w:tc>
        <w:tc>
          <w:tcPr>
            <w:tcW w:type="dxa" w:w="25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D9E75"/>
                <w:sz w:val="20"/>
                <w:szCs w:val="20"/>
              </w:rPr>
              <w:t xml:space="preserve">Intégrer EasyClass aux outils existants.</w:t>
            </w:r>
          </w:p>
        </w:tc>
      </w:tr>
      <w:tr>
        <w:tc>
          <w:tcPr>
            <w:vMerge w:val="continue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/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3D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3B6D11"/>
                <w:sz w:val="20"/>
                <w:szCs w:val="20"/>
              </w:rPr>
              <w:t xml:space="preserve">Élevé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/>
            </w:r>
          </w:p>
        </w:tc>
        <w:tc>
          <w:tcPr>
            <w:tcW w:type="dxa" w:w="2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Infrastructure bien structurée.</w:t>
            </w:r>
          </w:p>
        </w:tc>
        <w:tc>
          <w:tcPr>
            <w:tcW w:type="dxa" w:w="25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D9E75"/>
                <w:sz w:val="20"/>
                <w:szCs w:val="20"/>
              </w:rPr>
              <w:t xml:space="preserve">Optimiser et automatiser les flux.</w:t>
            </w:r>
          </w:p>
        </w:tc>
      </w:tr>
      <w:tr>
        <w:tc>
          <w:tcPr>
            <w:tcW w:type="dxa" w:w="2200"/>
            <w:vMerge w:val="restart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4F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0"/>
                <w:szCs w:val="20"/>
              </w:rPr>
              <w:t xml:space="preserve">Pédagogie &amp; expérience apprenant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ECE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993C1D"/>
                <w:sz w:val="20"/>
                <w:szCs w:val="20"/>
              </w:rPr>
              <w:t xml:space="preserve">Faible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0-5</w:t>
            </w:r>
          </w:p>
        </w:tc>
        <w:tc>
          <w:tcPr>
            <w:tcW w:type="dxa" w:w="2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Enseignement peu numérisé.</w:t>
            </w:r>
          </w:p>
        </w:tc>
        <w:tc>
          <w:tcPr>
            <w:tcW w:type="dxa" w:w="25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D9E75"/>
                <w:sz w:val="20"/>
                <w:szCs w:val="20"/>
              </w:rPr>
              <w:t xml:space="preserve">Initier aux fonctionnalités LMS d'EasyClass.</w:t>
            </w:r>
          </w:p>
        </w:tc>
      </w:tr>
      <w:tr>
        <w:tc>
          <w:tcPr>
            <w:vMerge w:val="continue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/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EED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854F0B"/>
                <w:sz w:val="20"/>
                <w:szCs w:val="20"/>
              </w:rPr>
              <w:t xml:space="preserve">Moyen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6-10</w:t>
            </w:r>
          </w:p>
        </w:tc>
        <w:tc>
          <w:tcPr>
            <w:tcW w:type="dxa" w:w="2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Pratiques inégales selon les enseignants.</w:t>
            </w:r>
          </w:p>
        </w:tc>
        <w:tc>
          <w:tcPr>
            <w:tcW w:type="dxa" w:w="25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D9E75"/>
                <w:sz w:val="20"/>
                <w:szCs w:val="20"/>
              </w:rPr>
              <w:t xml:space="preserve">Standardiser les pratiques via EasyClass.</w:t>
            </w:r>
          </w:p>
        </w:tc>
      </w:tr>
      <w:tr>
        <w:tc>
          <w:tcPr>
            <w:vMerge w:val="continue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/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3D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3B6D11"/>
                <w:sz w:val="20"/>
                <w:szCs w:val="20"/>
              </w:rPr>
              <w:t xml:space="preserve">Élevé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/>
            </w:r>
          </w:p>
        </w:tc>
        <w:tc>
          <w:tcPr>
            <w:tcW w:type="dxa" w:w="2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Pédagogie numérique bien établie.</w:t>
            </w:r>
          </w:p>
        </w:tc>
        <w:tc>
          <w:tcPr>
            <w:tcW w:type="dxa" w:w="25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D9E75"/>
                <w:sz w:val="20"/>
                <w:szCs w:val="20"/>
              </w:rPr>
              <w:t xml:space="preserve">Activer le suivi adaptatif et les tableaux de bord.</w:t>
            </w:r>
          </w:p>
        </w:tc>
      </w:tr>
      <w:tr>
        <w:tc>
          <w:tcPr>
            <w:tcW w:type="dxa" w:w="2200"/>
            <w:vMerge w:val="restart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AF8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0"/>
                <w:szCs w:val="20"/>
              </w:rPr>
              <w:t xml:space="preserve">Gestion administrative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ECE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993C1D"/>
                <w:sz w:val="20"/>
                <w:szCs w:val="20"/>
              </w:rPr>
              <w:t xml:space="preserve">Faible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0-5</w:t>
            </w:r>
          </w:p>
        </w:tc>
        <w:tc>
          <w:tcPr>
            <w:tcW w:type="dxa" w:w="2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Processus majoritairement manuels.</w:t>
            </w:r>
          </w:p>
        </w:tc>
        <w:tc>
          <w:tcPr>
            <w:tcW w:type="dxa" w:w="25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D9E75"/>
                <w:sz w:val="20"/>
                <w:szCs w:val="20"/>
              </w:rPr>
              <w:t xml:space="preserve">Dématérialiser avec EasyClass + AlmaHub.</w:t>
            </w:r>
          </w:p>
        </w:tc>
      </w:tr>
      <w:tr>
        <w:tc>
          <w:tcPr>
            <w:vMerge w:val="continue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/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EED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854F0B"/>
                <w:sz w:val="20"/>
                <w:szCs w:val="20"/>
              </w:rPr>
              <w:t xml:space="preserve">Moyen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6-10</w:t>
            </w:r>
          </w:p>
        </w:tc>
        <w:tc>
          <w:tcPr>
            <w:tcW w:type="dxa" w:w="2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Dématérialisation partielle.</w:t>
            </w:r>
          </w:p>
        </w:tc>
        <w:tc>
          <w:tcPr>
            <w:tcW w:type="dxa" w:w="25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D9E75"/>
                <w:sz w:val="20"/>
                <w:szCs w:val="20"/>
              </w:rPr>
              <w:t xml:space="preserve">Combler les gaps avec AlmaHub.</w:t>
            </w:r>
          </w:p>
        </w:tc>
      </w:tr>
      <w:tr>
        <w:tc>
          <w:tcPr>
            <w:vMerge w:val="continue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/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3D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3B6D11"/>
                <w:sz w:val="20"/>
                <w:szCs w:val="20"/>
              </w:rPr>
              <w:t xml:space="preserve">Élevé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/>
            </w:r>
          </w:p>
        </w:tc>
        <w:tc>
          <w:tcPr>
            <w:tcW w:type="dxa" w:w="2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Administration bien outillée.</w:t>
            </w:r>
          </w:p>
        </w:tc>
        <w:tc>
          <w:tcPr>
            <w:tcW w:type="dxa" w:w="25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D9E75"/>
                <w:sz w:val="20"/>
                <w:szCs w:val="20"/>
              </w:rPr>
              <w:t xml:space="preserve">Automatiser les flux résiduels.</w:t>
            </w:r>
          </w:p>
        </w:tc>
      </w:tr>
      <w:tr>
        <w:tc>
          <w:tcPr>
            <w:tcW w:type="dxa" w:w="2200"/>
            <w:vMerge w:val="restart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4F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0"/>
                <w:szCs w:val="20"/>
              </w:rPr>
              <w:t xml:space="preserve">Employabilité &amp; orientation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ECE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993C1D"/>
                <w:sz w:val="20"/>
                <w:szCs w:val="20"/>
              </w:rPr>
              <w:t xml:space="preserve">Faible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0-5</w:t>
            </w:r>
          </w:p>
        </w:tc>
        <w:tc>
          <w:tcPr>
            <w:tcW w:type="dxa" w:w="2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Angle mort — aucun dispositif structuré.</w:t>
            </w:r>
          </w:p>
        </w:tc>
        <w:tc>
          <w:tcPr>
            <w:tcW w:type="dxa" w:w="25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D9E75"/>
                <w:sz w:val="20"/>
                <w:szCs w:val="20"/>
              </w:rPr>
              <w:t xml:space="preserve">Lancer BrightStep pour stages et alumni.</w:t>
            </w:r>
          </w:p>
        </w:tc>
      </w:tr>
      <w:tr>
        <w:tc>
          <w:tcPr>
            <w:vMerge w:val="continue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/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EED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854F0B"/>
                <w:sz w:val="20"/>
                <w:szCs w:val="20"/>
              </w:rPr>
              <w:t xml:space="preserve">Moyen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6-10</w:t>
            </w:r>
          </w:p>
        </w:tc>
        <w:tc>
          <w:tcPr>
            <w:tcW w:type="dxa" w:w="2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Dispositifs informels existants.</w:t>
            </w:r>
          </w:p>
        </w:tc>
        <w:tc>
          <w:tcPr>
            <w:tcW w:type="dxa" w:w="25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D9E75"/>
                <w:sz w:val="20"/>
                <w:szCs w:val="20"/>
              </w:rPr>
              <w:t xml:space="preserve">Structurer avec BrightStep (KPIs, matching).</w:t>
            </w:r>
          </w:p>
        </w:tc>
      </w:tr>
      <w:tr>
        <w:tc>
          <w:tcPr>
            <w:vMerge w:val="continue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/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3D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3B6D11"/>
                <w:sz w:val="20"/>
                <w:szCs w:val="20"/>
              </w:rPr>
              <w:t xml:space="preserve">Élevé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/>
            </w:r>
          </w:p>
        </w:tc>
        <w:tc>
          <w:tcPr>
            <w:tcW w:type="dxa" w:w="2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Écosystème emploi actif.</w:t>
            </w:r>
          </w:p>
        </w:tc>
        <w:tc>
          <w:tcPr>
            <w:tcW w:type="dxa" w:w="25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D9E75"/>
                <w:sz w:val="20"/>
                <w:szCs w:val="20"/>
              </w:rPr>
              <w:t xml:space="preserve">Amplifier via le brand advocacy alumni.</w:t>
            </w:r>
          </w:p>
        </w:tc>
      </w:tr>
      <w:tr>
        <w:tc>
          <w:tcPr>
            <w:tcW w:type="dxa" w:w="2200"/>
            <w:vMerge w:val="restart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AF8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0"/>
                <w:szCs w:val="20"/>
              </w:rPr>
              <w:t xml:space="preserve">Données &amp; pilotage stratégique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ECE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993C1D"/>
                <w:sz w:val="20"/>
                <w:szCs w:val="20"/>
              </w:rPr>
              <w:t xml:space="preserve">Faible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0-5</w:t>
            </w:r>
          </w:p>
        </w:tc>
        <w:tc>
          <w:tcPr>
            <w:tcW w:type="dxa" w:w="2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Décisions sur estimations.</w:t>
            </w:r>
          </w:p>
        </w:tc>
        <w:tc>
          <w:tcPr>
            <w:tcW w:type="dxa" w:w="25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D9E75"/>
                <w:sz w:val="20"/>
                <w:szCs w:val="20"/>
              </w:rPr>
              <w:t xml:space="preserve">Centraliser avec AlmaHub.</w:t>
            </w:r>
          </w:p>
        </w:tc>
      </w:tr>
      <w:tr>
        <w:tc>
          <w:tcPr>
            <w:vMerge w:val="continue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/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EED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854F0B"/>
                <w:sz w:val="20"/>
                <w:szCs w:val="20"/>
              </w:rPr>
              <w:t xml:space="preserve">Moyen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6-10</w:t>
            </w:r>
          </w:p>
        </w:tc>
        <w:tc>
          <w:tcPr>
            <w:tcW w:type="dxa" w:w="2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Données dispersées et peu fiables.</w:t>
            </w:r>
          </w:p>
        </w:tc>
        <w:tc>
          <w:tcPr>
            <w:tcW w:type="dxa" w:w="25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D9E75"/>
                <w:sz w:val="20"/>
                <w:szCs w:val="20"/>
              </w:rPr>
              <w:t xml:space="preserve">Fiabiliser les KPIs via AlmaHub.</w:t>
            </w:r>
          </w:p>
        </w:tc>
      </w:tr>
      <w:tr>
        <w:tc>
          <w:tcPr>
            <w:vMerge w:val="continue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/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3D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3B6D11"/>
                <w:sz w:val="20"/>
                <w:szCs w:val="20"/>
              </w:rPr>
              <w:t xml:space="preserve">Élevé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/>
            </w:r>
          </w:p>
        </w:tc>
        <w:tc>
          <w:tcPr>
            <w:tcW w:type="dxa" w:w="2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Pilotage data-driven établi.</w:t>
            </w:r>
          </w:p>
        </w:tc>
        <w:tc>
          <w:tcPr>
            <w:tcW w:type="dxa" w:w="25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D9E75"/>
                <w:sz w:val="20"/>
                <w:szCs w:val="20"/>
              </w:rPr>
              <w:t xml:space="preserve">Activer la capacité prédictive.</w:t>
            </w:r>
          </w:p>
        </w:tc>
      </w:tr>
      <w:tr>
        <w:tc>
          <w:tcPr>
            <w:tcW w:type="dxa" w:w="2200"/>
            <w:vMerge w:val="restart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4F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D6FA5"/>
                <w:sz w:val="20"/>
                <w:szCs w:val="20"/>
              </w:rPr>
              <w:t xml:space="preserve">Culture numérique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ECE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993C1D"/>
                <w:sz w:val="20"/>
                <w:szCs w:val="20"/>
              </w:rPr>
              <w:t xml:space="preserve">Faible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0-5</w:t>
            </w:r>
          </w:p>
        </w:tc>
        <w:tc>
          <w:tcPr>
            <w:tcW w:type="dxa" w:w="2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Résistance ou absence de stratégie.</w:t>
            </w:r>
          </w:p>
        </w:tc>
        <w:tc>
          <w:tcPr>
            <w:tcW w:type="dxa" w:w="25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D9E75"/>
                <w:sz w:val="20"/>
                <w:szCs w:val="20"/>
              </w:rPr>
              <w:t xml:space="preserve">Programme d'onboarding GEERD.</w:t>
            </w:r>
          </w:p>
        </w:tc>
      </w:tr>
      <w:tr>
        <w:tc>
          <w:tcPr>
            <w:vMerge w:val="continue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/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EED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854F0B"/>
                <w:sz w:val="20"/>
                <w:szCs w:val="20"/>
              </w:rPr>
              <w:t xml:space="preserve">Moyen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6-10</w:t>
            </w:r>
          </w:p>
        </w:tc>
        <w:tc>
          <w:tcPr>
            <w:tcW w:type="dxa" w:w="2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Dynamique présente, peu structurée.</w:t>
            </w:r>
          </w:p>
        </w:tc>
        <w:tc>
          <w:tcPr>
            <w:tcW w:type="dxa" w:w="25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D9E75"/>
                <w:sz w:val="20"/>
                <w:szCs w:val="20"/>
              </w:rPr>
              <w:t xml:space="preserve">Formations ciblées + suivi d'adoption.</w:t>
            </w:r>
          </w:p>
        </w:tc>
      </w:tr>
      <w:tr>
        <w:tc>
          <w:tcPr>
            <w:vMerge w:val="continue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/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/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3D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3B6D11"/>
                <w:sz w:val="20"/>
                <w:szCs w:val="20"/>
              </w:rPr>
              <w:t xml:space="preserve">Élevé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/>
            </w:r>
          </w:p>
        </w:tc>
        <w:tc>
          <w:tcPr>
            <w:tcW w:type="dxa" w:w="2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Culture numérique solide.</w:t>
            </w:r>
          </w:p>
        </w:tc>
        <w:tc>
          <w:tcPr>
            <w:tcW w:type="dxa" w:w="25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D9E75"/>
                <w:sz w:val="20"/>
                <w:szCs w:val="20"/>
              </w:rPr>
              <w:t xml:space="preserve">Déploiement complet de la suite.</w:t>
            </w:r>
          </w:p>
        </w:tc>
      </w:tr>
    </w:tbl>
    <w:p>
      <w:pPr>
        <w:spacing w:after="80"/>
      </w:pPr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D6FA5"/>
          <w:sz w:val="28"/>
          <w:szCs w:val="28"/>
        </w:rPr>
        <w:t xml:space="preserve">Les solutions GEERD</w:t>
      </w:r>
    </w:p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D9E75"/>
                <w:sz w:val="26"/>
                <w:szCs w:val="26"/>
              </w:rPr>
              <w:t xml:space="preserve">EasyClass</w:t>
            </w:r>
          </w:p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Plateforme LMS tout-en-un pour la gestion pédagogique et administrative. Cours, notes, présences, relevés et bulletins dans un seul environnement conçu pour l'enseignement supérieur marocain.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DFE" w:val="clear"/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534AB7"/>
                <w:sz w:val="26"/>
                <w:szCs w:val="26"/>
              </w:rPr>
              <w:t xml:space="preserve">BrightStep</w:t>
            </w:r>
          </w:p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Écosystème numérique dédié à l'employabilité et à l'orientation : offres de stages, réseau alumni, matching étudiant-entreprise et suivi de l'insertion professionnelle.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1FB" w:val="clear"/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85FA5"/>
                <w:sz w:val="26"/>
                <w:szCs w:val="26"/>
              </w:rPr>
              <w:t xml:space="preserve">AlmaHub</w:t>
            </w:r>
          </w:p>
          <w:p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Tableau de bord de pilotage stratégique pour les directions d'établissement : consolidation des données académiques, indicateurs de performance, alertes précoces et aide à la décision.</w:t>
            </w:r>
          </w:p>
        </w:tc>
      </w:tr>
    </w:tbl>
    <w:p>
      <w:pPr>
        <w:spacing w:after="80"/>
      </w:pPr>
      <w: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Pour toute demande de démonstration ou d'accompagnement, contactez l'équipe GEERD sur </w:t>
      </w:r>
      <w:r>
        <w:rPr>
          <w:rFonts w:ascii="Arial" w:cs="Arial" w:eastAsia="Arial" w:hAnsi="Arial"/>
          <w:b/>
          <w:bCs/>
          <w:color w:val="1D6FA5"/>
          <w:sz w:val="20"/>
          <w:szCs w:val="20"/>
        </w:rPr>
        <w:t xml:space="preserve">www.geerd.ma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D6FA5" w:sz="4" w:space="1"/>
      </w:pBdr>
    </w:pPr>
    <w:r>
      <w:t xml:space="preserve"/>
    </w:r>
  </w:p>
  <w:tbl>
    <w:tblPr>
      <w:tblW w:type="dxa" w:w="9638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7000"/>
      <w:gridCol w:w="2638"/>
    </w:tblGrid>
    <w:tr>
      <w:tc>
        <w:tcPr>
          <w:tcW w:type="dxa" w:w="70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60"/>
            <w:left w:type="dxa" w:w="0"/>
            <w:bottom w:type="dxa" w:w="0"/>
            <w:right w:type="dxa" w:w="0"/>
          </w:tcMar>
        </w:tcPr>
        <w:p>
          <w:r>
            <w:rPr>
              <w:rFonts w:ascii="Arial" w:cs="Arial" w:eastAsia="Arial" w:hAnsi="Arial"/>
              <w:i/>
              <w:iCs/>
              <w:color w:val="AAAAAA"/>
              <w:sz w:val="18"/>
              <w:szCs w:val="18"/>
            </w:rPr>
            <w:t xml:space="preserve">Confidentiel — Usage interne GEERD</w:t>
          </w:r>
        </w:p>
      </w:tc>
      <w:tc>
        <w:tcPr>
          <w:tcW w:type="dxa" w:w="26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60"/>
            <w:left w:type="dxa" w:w="0"/>
            <w:bottom w:type="dxa" w:w="0"/>
            <w:right w:type="dxa" w:w="0"/>
          </w:tcMar>
        </w:tcPr>
        <w:p>
          <w:pPr>
            <w:jc w:val="right"/>
          </w:pPr>
          <w:r>
            <w:rPr>
              <w:rFonts w:ascii="Arial" w:cs="Arial" w:eastAsia="Arial" w:hAnsi="Arial"/>
              <w:color w:val="888888"/>
              <w:sz w:val="18"/>
              <w:szCs w:val="18"/>
            </w:rPr>
            <w:t xml:space="preserve">Page </w:t>
          </w:r>
          <w:r>
            <w:rPr>
              <w:rFonts w:ascii="Arial" w:cs="Arial" w:eastAsia="Arial" w:hAnsi="Arial"/>
              <w:color w:val="888888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7000"/>
      <w:gridCol w:w="2638"/>
    </w:tblGrid>
    <w:tr>
      <w:tc>
        <w:tcPr>
          <w:tcW w:type="dxa" w:w="70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60"/>
            <w:left w:type="dxa" w:w="0"/>
            <w:bottom w:type="dxa" w:w="60"/>
            <w:right w:type="dxa" w:w="0"/>
          </w:tcMar>
        </w:tcPr>
        <w:p>
          <w:r>
            <w:rPr>
              <w:rFonts w:ascii="Arial" w:cs="Arial" w:eastAsia="Arial" w:hAnsi="Arial"/>
              <w:color w:val="888888"/>
              <w:sz w:val="18"/>
              <w:szCs w:val="18"/>
            </w:rPr>
            <w:t xml:space="preserve">DigiScan Université — Diagnostic de maturité numérique</w:t>
          </w:r>
        </w:p>
      </w:tc>
      <w:tc>
        <w:tcPr>
          <w:tcW w:type="dxa" w:w="26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60"/>
            <w:left w:type="dxa" w:w="0"/>
            <w:bottom w:type="dxa" w:w="60"/>
            <w:right w:type="dxa" w:w="0"/>
          </w:tcMar>
        </w:tcPr>
        <w:p>
          <w:pPr>
            <w:jc w:val="right"/>
          </w:pPr>
          <w:r>
            <w:rPr>
              <w:rFonts w:ascii="Arial" w:cs="Arial" w:eastAsia="Arial" w:hAnsi="Arial"/>
              <w:b/>
              <w:bCs/>
              <w:color w:val="1D9E75"/>
              <w:sz w:val="18"/>
              <w:szCs w:val="18"/>
            </w:rPr>
            <w:t xml:space="preserve">GEERD EdTech</w:t>
          </w:r>
        </w:p>
      </w:tc>
    </w:tr>
  </w:tbl>
  <w:p>
    <w:pPr>
      <w:pBdr>
        <w:bottom w:val="single" w:color="1D6FA5" w:sz="4" w:space="1"/>
      </w:pBdr>
    </w:pPr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240"/>
      <w:outlineLvl w:val="0"/>
    </w:pPr>
    <w:rPr>
      <w:rFonts w:ascii="Arial" w:cs="Arial" w:eastAsia="Arial" w:hAnsi="Arial"/>
      <w:b/>
      <w:bCs/>
      <w:color w:val="1D6FA5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180"/>
      <w:outlineLvl w:val="1"/>
    </w:pPr>
    <w:rPr>
      <w:rFonts w:ascii="Arial" w:cs="Arial" w:eastAsia="Arial" w:hAnsi="Arial"/>
      <w:b/>
      <w:bCs/>
      <w:color w:val="333333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2026-06-24T14:56:30.456Z</dcterms:created>
  <dcterms:modified xsi:type="dcterms:W3CDTF">2026-06-24T14:56:30.456Z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